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C16C" w14:textId="7AB8A919" w:rsidR="002F3B6D" w:rsidRDefault="00F41ED5" w:rsidP="0065670D">
      <w:pPr>
        <w:spacing w:after="120" w:line="240" w:lineRule="auto"/>
        <w:rPr>
          <w:rFonts w:ascii="Times New Roman" w:hAnsi="Times New Roman" w:cs="Times New Roman"/>
        </w:rPr>
      </w:pPr>
      <w:r>
        <w:rPr>
          <w:rFonts w:ascii="Times New Roman" w:hAnsi="Times New Roman" w:cs="Times New Roman"/>
        </w:rPr>
        <w:t xml:space="preserve">September </w:t>
      </w:r>
      <w:r w:rsidR="00CA0104">
        <w:rPr>
          <w:rFonts w:ascii="Times New Roman" w:hAnsi="Times New Roman" w:cs="Times New Roman"/>
        </w:rPr>
        <w:t>3</w:t>
      </w:r>
      <w:r w:rsidR="0065670D" w:rsidRPr="00126042">
        <w:rPr>
          <w:rFonts w:ascii="Times New Roman" w:hAnsi="Times New Roman" w:cs="Times New Roman"/>
        </w:rPr>
        <w:t xml:space="preserve">, </w:t>
      </w:r>
      <w:r w:rsidR="002F3B6D" w:rsidRPr="00126042">
        <w:rPr>
          <w:rFonts w:ascii="Times New Roman" w:hAnsi="Times New Roman" w:cs="Times New Roman"/>
        </w:rPr>
        <w:t>202</w:t>
      </w:r>
      <w:r>
        <w:rPr>
          <w:rFonts w:ascii="Times New Roman" w:hAnsi="Times New Roman" w:cs="Times New Roman"/>
        </w:rPr>
        <w:t>1</w:t>
      </w:r>
    </w:p>
    <w:p w14:paraId="49BB7CFB" w14:textId="77777777" w:rsidR="00D812D7" w:rsidRPr="00D812D7" w:rsidRDefault="00D812D7" w:rsidP="002F3B6D">
      <w:pPr>
        <w:pStyle w:val="Default"/>
        <w:rPr>
          <w:rFonts w:ascii="Times New Roman" w:hAnsi="Times New Roman" w:cs="Times New Roman"/>
          <w:b/>
          <w:sz w:val="22"/>
          <w:szCs w:val="22"/>
        </w:rPr>
      </w:pPr>
    </w:p>
    <w:p w14:paraId="4B03B076" w14:textId="0E7E2016" w:rsidR="00D812D7" w:rsidRDefault="00F41ED5" w:rsidP="00F41ED5">
      <w:pPr>
        <w:pStyle w:val="Default"/>
        <w:rPr>
          <w:rFonts w:ascii="Times New Roman" w:hAnsi="Times New Roman" w:cs="Times New Roman"/>
          <w:sz w:val="22"/>
          <w:szCs w:val="22"/>
        </w:rPr>
      </w:pPr>
      <w:r w:rsidRPr="00F41ED5">
        <w:rPr>
          <w:rFonts w:ascii="Times New Roman" w:hAnsi="Times New Roman" w:cs="Times New Roman"/>
          <w:sz w:val="22"/>
          <w:szCs w:val="22"/>
        </w:rPr>
        <w:t>Planning</w:t>
      </w:r>
      <w:r w:rsidR="00D812D7">
        <w:rPr>
          <w:rFonts w:ascii="Times New Roman" w:hAnsi="Times New Roman" w:cs="Times New Roman"/>
          <w:sz w:val="22"/>
          <w:szCs w:val="22"/>
        </w:rPr>
        <w:t xml:space="preserve"> Department</w:t>
      </w:r>
    </w:p>
    <w:p w14:paraId="5024CAF3" w14:textId="77777777" w:rsidR="00F41ED5" w:rsidRPr="00F41ED5" w:rsidRDefault="00F41ED5" w:rsidP="00F41ED5">
      <w:pPr>
        <w:pStyle w:val="Default"/>
        <w:rPr>
          <w:rFonts w:ascii="Times New Roman" w:hAnsi="Times New Roman" w:cs="Times New Roman"/>
          <w:sz w:val="22"/>
          <w:szCs w:val="22"/>
        </w:rPr>
      </w:pPr>
      <w:r w:rsidRPr="00F41ED5">
        <w:rPr>
          <w:rFonts w:ascii="Times New Roman" w:hAnsi="Times New Roman" w:cs="Times New Roman"/>
          <w:sz w:val="22"/>
          <w:szCs w:val="22"/>
        </w:rPr>
        <w:t>3501 Civic Center Drive, Suite 308</w:t>
      </w:r>
    </w:p>
    <w:p w14:paraId="6F5BF9AB" w14:textId="431817CE" w:rsidR="002F3B6D" w:rsidRDefault="00F41ED5" w:rsidP="00F41ED5">
      <w:pPr>
        <w:pStyle w:val="Default"/>
        <w:rPr>
          <w:rFonts w:ascii="Times New Roman" w:hAnsi="Times New Roman" w:cs="Times New Roman"/>
          <w:sz w:val="22"/>
          <w:szCs w:val="22"/>
        </w:rPr>
      </w:pPr>
      <w:r w:rsidRPr="00F41ED5">
        <w:rPr>
          <w:rFonts w:ascii="Times New Roman" w:hAnsi="Times New Roman" w:cs="Times New Roman"/>
          <w:sz w:val="22"/>
          <w:szCs w:val="22"/>
        </w:rPr>
        <w:t>San Rafael, C</w:t>
      </w:r>
      <w:r w:rsidR="004254AB">
        <w:rPr>
          <w:rFonts w:ascii="Times New Roman" w:hAnsi="Times New Roman" w:cs="Times New Roman"/>
          <w:sz w:val="22"/>
          <w:szCs w:val="22"/>
        </w:rPr>
        <w:t>alifornia</w:t>
      </w:r>
      <w:r w:rsidRPr="00F41ED5">
        <w:rPr>
          <w:rFonts w:ascii="Times New Roman" w:hAnsi="Times New Roman" w:cs="Times New Roman"/>
          <w:sz w:val="22"/>
          <w:szCs w:val="22"/>
        </w:rPr>
        <w:t xml:space="preserve"> 94903</w:t>
      </w:r>
    </w:p>
    <w:p w14:paraId="2E6A6A17" w14:textId="1F9CA8D0" w:rsidR="00056790" w:rsidRDefault="00056790" w:rsidP="00BE74E1">
      <w:pPr>
        <w:pStyle w:val="Default"/>
        <w:rPr>
          <w:rStyle w:val="Hyperlink"/>
          <w:rFonts w:ascii="Times New Roman" w:hAnsi="Times New Roman" w:cs="Times New Roman"/>
          <w:color w:val="000000" w:themeColor="text1"/>
          <w:sz w:val="22"/>
          <w:szCs w:val="22"/>
          <w:u w:val="none"/>
        </w:rPr>
      </w:pPr>
    </w:p>
    <w:p w14:paraId="58050349" w14:textId="77777777" w:rsidR="00056790" w:rsidRDefault="00056790" w:rsidP="0065670D">
      <w:pPr>
        <w:pStyle w:val="Default"/>
        <w:ind w:left="1440" w:hanging="720"/>
        <w:rPr>
          <w:rStyle w:val="Hyperlink"/>
          <w:rFonts w:ascii="Times New Roman" w:hAnsi="Times New Roman" w:cs="Times New Roman"/>
          <w:color w:val="000000" w:themeColor="text1"/>
          <w:sz w:val="22"/>
          <w:szCs w:val="22"/>
          <w:u w:val="none"/>
        </w:rPr>
      </w:pPr>
    </w:p>
    <w:p w14:paraId="45C0BF77" w14:textId="3DA51FCA" w:rsidR="00056790" w:rsidRDefault="00056790" w:rsidP="00056790">
      <w:r w:rsidRPr="00056790">
        <w:t xml:space="preserve">As a CCWG </w:t>
      </w:r>
      <w:r>
        <w:t>representative</w:t>
      </w:r>
      <w:r w:rsidRPr="00056790">
        <w:t xml:space="preserve"> I am submitting the following comments on the August 18th draft of the proposed Environmental Hazards</w:t>
      </w:r>
      <w:r>
        <w:t xml:space="preserve"> chapter of the Local Coastal Program:</w:t>
      </w:r>
      <w:r w:rsidR="0066138F">
        <w:br/>
      </w:r>
    </w:p>
    <w:p w14:paraId="68E4D204" w14:textId="6BA24BB4" w:rsidR="00FE3BB4" w:rsidRDefault="00056790" w:rsidP="00945C33">
      <w:pPr>
        <w:pStyle w:val="ListParagraph"/>
        <w:numPr>
          <w:ilvl w:val="0"/>
          <w:numId w:val="3"/>
        </w:numPr>
      </w:pPr>
      <w:r>
        <w:t xml:space="preserve">As discussed in the meeting with County staff on Monday the 23d, </w:t>
      </w:r>
      <w:r w:rsidR="00FD5E77">
        <w:t xml:space="preserve">the </w:t>
      </w:r>
      <w:r>
        <w:t xml:space="preserve">various references to sea level rise maps and standards </w:t>
      </w:r>
      <w:r w:rsidR="00FD5E77">
        <w:t xml:space="preserve">in the draft </w:t>
      </w:r>
      <w:r>
        <w:t xml:space="preserve">are inconsistent and should be replaced with a single </w:t>
      </w:r>
      <w:r w:rsidR="00FD5E77">
        <w:t xml:space="preserve">map </w:t>
      </w:r>
      <w:r>
        <w:t>standard</w:t>
      </w:r>
      <w:r w:rsidR="00D438A0">
        <w:t>,</w:t>
      </w:r>
      <w:r>
        <w:t xml:space="preserve"> and the “Future Sea Level Rise” Maps referenced should be included with the reviewable material and made consistent with the requirement </w:t>
      </w:r>
      <w:r w:rsidR="00E95439">
        <w:t>in C-EH-13 for depiction of</w:t>
      </w:r>
      <w:r>
        <w:t xml:space="preserve"> a flood level associated with t</w:t>
      </w:r>
      <w:r w:rsidR="00FE3BB4">
        <w:t>hree feet of sea level rise</w:t>
      </w:r>
      <w:r>
        <w:t xml:space="preserve">.  </w:t>
      </w:r>
      <w:r w:rsidR="00FE3BB4">
        <w:br/>
      </w:r>
      <w:r w:rsidR="00FE3BB4">
        <w:br/>
        <w:t xml:space="preserve">- in C-EH-2, it both states that ‘Hazard Areas are delineated on LCP Maps 9 through 15’, but also that ‘The County’s “Future Sea Level Rise Maps”… are considered definitive and shall be used to identify areas subject to sea level rise’.  C-EH-9 </w:t>
      </w:r>
      <w:r w:rsidR="00FD5E77">
        <w:t xml:space="preserve">and C-EH-13 </w:t>
      </w:r>
      <w:r w:rsidR="00FE3BB4">
        <w:t xml:space="preserve">also reference “Future Sea Level Rise” Maps as those used to determine Future Sea Level Rise Hazard Areas.  </w:t>
      </w:r>
      <w:r w:rsidR="00FD5E77">
        <w:t xml:space="preserve">So </w:t>
      </w:r>
      <w:r w:rsidR="00945C33">
        <w:t xml:space="preserve">it is </w:t>
      </w:r>
      <w:r w:rsidR="00D438A0">
        <w:t xml:space="preserve">clearly </w:t>
      </w:r>
      <w:r w:rsidR="00FD5E77">
        <w:t xml:space="preserve">these maps, </w:t>
      </w:r>
      <w:r w:rsidR="00945C33">
        <w:t xml:space="preserve">and </w:t>
      </w:r>
      <w:r w:rsidR="00FD5E77">
        <w:t>not one of the LCP Maps 9-15</w:t>
      </w:r>
      <w:r w:rsidR="00945C33">
        <w:t>,</w:t>
      </w:r>
      <w:r w:rsidR="00FD5E77">
        <w:t xml:space="preserve"> </w:t>
      </w:r>
      <w:r w:rsidR="00945C33">
        <w:t xml:space="preserve">that </w:t>
      </w:r>
      <w:r w:rsidR="00FD5E77">
        <w:t>should be the sole mapping source used</w:t>
      </w:r>
      <w:r w:rsidR="00945C33">
        <w:t xml:space="preserve"> to define </w:t>
      </w:r>
      <w:r w:rsidR="00CD63CC">
        <w:t>sea level rise hazard areas</w:t>
      </w:r>
      <w:r w:rsidR="00FD5E77">
        <w:t>.</w:t>
      </w:r>
      <w:r w:rsidR="00FE3BB4">
        <w:br/>
      </w:r>
      <w:r w:rsidR="00FE3BB4">
        <w:br/>
        <w:t>However, Map 15 also purports to show sea level rise</w:t>
      </w:r>
      <w:r w:rsidR="00E95439">
        <w:t>; and it does not show flooding at a sea rise level of 3’ but at 55”</w:t>
      </w:r>
      <w:r w:rsidR="00FE3BB4">
        <w:t xml:space="preserve">. </w:t>
      </w:r>
      <w:r w:rsidR="00FD5E77">
        <w:t xml:space="preserve"> </w:t>
      </w:r>
      <w:r w:rsidR="00FE3BB4">
        <w:t xml:space="preserve">If the “Future Sea Level Rise” Maps are considered definitive then the reference to Map 15 should be struck as </w:t>
      </w:r>
      <w:r w:rsidR="00945C33">
        <w:t xml:space="preserve">inconsistent </w:t>
      </w:r>
      <w:r w:rsidR="00D438A0">
        <w:t xml:space="preserve">with sections C-EH-9 and C-EH-13 </w:t>
      </w:r>
      <w:r w:rsidR="00945C33">
        <w:t>and ambiguous</w:t>
      </w:r>
      <w:r w:rsidR="00D438A0">
        <w:t xml:space="preserve"> within C-EH-2.  O</w:t>
      </w:r>
      <w:r w:rsidR="00FE3BB4">
        <w:t xml:space="preserve">nly LCP Maps 9-14 are in fact </w:t>
      </w:r>
      <w:r w:rsidR="00CD63CC">
        <w:t>r</w:t>
      </w:r>
      <w:r w:rsidR="00FE3BB4">
        <w:t xml:space="preserve">eferenced </w:t>
      </w:r>
      <w:r w:rsidR="00FD5E77">
        <w:t xml:space="preserve">in C-EH-2 as depicting </w:t>
      </w:r>
      <w:r w:rsidR="00CD63CC">
        <w:t xml:space="preserve">various </w:t>
      </w:r>
      <w:r w:rsidR="00FD5E77">
        <w:t>hazard areas</w:t>
      </w:r>
      <w:r w:rsidR="00945C33">
        <w:t>.  T</w:t>
      </w:r>
      <w:r w:rsidR="00FE3BB4">
        <w:t xml:space="preserve">he first sentence in C-EH-2 should </w:t>
      </w:r>
      <w:r w:rsidR="00D438A0">
        <w:t xml:space="preserve">therefore </w:t>
      </w:r>
      <w:r w:rsidR="00FE3BB4">
        <w:t>be changed to “Hazard areas are delineated on LCP Maps 9 through 14</w:t>
      </w:r>
      <w:r w:rsidR="00D438A0">
        <w:t>”.</w:t>
      </w:r>
      <w:r w:rsidR="00FD5E77">
        <w:br/>
      </w:r>
      <w:r w:rsidR="00FE3BB4">
        <w:br/>
        <w:t>-</w:t>
      </w:r>
      <w:r w:rsidR="00FD5E77">
        <w:t xml:space="preserve"> C-EH-13 then states that areas not in FEMA zones but </w:t>
      </w:r>
      <w:r w:rsidR="00945C33">
        <w:t>‘</w:t>
      </w:r>
      <w:r w:rsidR="00FD5E77">
        <w:t xml:space="preserve">within </w:t>
      </w:r>
      <w:r w:rsidR="00945C33">
        <w:t xml:space="preserve">“Future Sea Level Rise Hazard Areas” depicted on “Future Sea Level Rise” Maps… shall meet or exceed the anticipated flood level associated with </w:t>
      </w:r>
      <w:r w:rsidR="00945C33" w:rsidRPr="00945C33">
        <w:rPr>
          <w:b/>
          <w:bCs/>
        </w:rPr>
        <w:t>three feet of sea level rise as depicted on the above referenced maps</w:t>
      </w:r>
      <w:r w:rsidR="00945C33">
        <w:t xml:space="preserve">’.  Therefore, at least one of the “Future Sea Level Rise” Maps must be produced showing flood levels at three feet of </w:t>
      </w:r>
      <w:r w:rsidR="00D438A0">
        <w:t xml:space="preserve">sea level </w:t>
      </w:r>
      <w:r w:rsidR="00945C33">
        <w:t>rise.  We have not seen this map (or these maps in general)</w:t>
      </w:r>
      <w:r w:rsidR="00D438A0">
        <w:t xml:space="preserve">; </w:t>
      </w:r>
      <w:r w:rsidR="00945C33">
        <w:t>the maps themselves, or at the very least examples</w:t>
      </w:r>
      <w:r w:rsidR="00D438A0">
        <w:t xml:space="preserve"> specifically including one showing flood levels at 3’ of sea level rise</w:t>
      </w:r>
      <w:r w:rsidR="00945C33">
        <w:t xml:space="preserve"> should be provided for review.</w:t>
      </w:r>
      <w:r w:rsidR="00945C33">
        <w:br/>
      </w:r>
      <w:r w:rsidR="00945C33">
        <w:br/>
        <w:t>- It was also noted by a</w:t>
      </w:r>
      <w:r w:rsidR="00E95439">
        <w:t>nother</w:t>
      </w:r>
      <w:r w:rsidR="00945C33">
        <w:t xml:space="preserve"> representative </w:t>
      </w:r>
      <w:r w:rsidR="00E95439">
        <w:t>at</w:t>
      </w:r>
      <w:r w:rsidR="00945C33">
        <w:t xml:space="preserve"> the CCWG that the California OPC projections may or may not be the most up to date and the best sources to use to generate such definitive “Future Sea Level Rise” maps</w:t>
      </w:r>
      <w:r w:rsidR="00D438A0">
        <w:t>, and that it is arbitrary and incorrect to specifically tie County’s projections to a specific OPC projection from 2018</w:t>
      </w:r>
      <w:r w:rsidR="00945C33">
        <w:t>.  It would be better in C-EH-9(3) therefore to change the section to “adopted by the County of Marin based on best available science” to give planners the ability to use whatever is considered the best and most recent available mapping projection, whether from OPC or other sources.</w:t>
      </w:r>
      <w:r w:rsidR="00E95439">
        <w:t xml:space="preserve">  This would also avoid an inconsistency of C-EH-9(3) with C-EH-13; if the specific OPC Aversion set referenced does not specify a sea level rise of 3’, then there will be no “Future Sea Level Rise” Map depicting a 3’ sea level rise as required by C-EH-13.</w:t>
      </w:r>
      <w:r w:rsidR="00FD5E77">
        <w:br/>
      </w:r>
      <w:r w:rsidR="0066138F">
        <w:br/>
      </w:r>
    </w:p>
    <w:p w14:paraId="4ADFCB43" w14:textId="77777777" w:rsidR="009161E9" w:rsidRDefault="00CA7637" w:rsidP="00056790">
      <w:pPr>
        <w:pStyle w:val="ListParagraph"/>
        <w:numPr>
          <w:ilvl w:val="0"/>
          <w:numId w:val="3"/>
        </w:numPr>
      </w:pPr>
      <w:r>
        <w:lastRenderedPageBreak/>
        <w:t>We continue to maintain that the most reasonable interpretation of “existing structure” as used in Section 30235 of the Coastal Act is a plain-English one – an “existing structure” is simply one that exists at the time of permit application.  While it is clear that the Coastal Commission staff wishes to abuse the word “existing” by making it retroactive to 1977, the County of Marin should not get entangled in that debate, which may only be resolved in court</w:t>
      </w:r>
      <w:r w:rsidR="009161E9">
        <w:t>.</w:t>
      </w:r>
    </w:p>
    <w:p w14:paraId="25AE9A75" w14:textId="64B5EEEF" w:rsidR="00CA7637" w:rsidRDefault="00CA7637" w:rsidP="009161E9">
      <w:pPr>
        <w:pStyle w:val="ListParagraph"/>
      </w:pPr>
      <w:r>
        <w:br/>
      </w:r>
      <w:r w:rsidR="009161E9">
        <w:t>However, i</w:t>
      </w:r>
      <w:r>
        <w:t>f County intends to move forward with one of the two “options” presented as a definition, we note that the second is subject to considerable ambiguity, likely unintentional</w:t>
      </w:r>
      <w:r w:rsidR="00512A7F">
        <w:t>, and should not be used without further editing</w:t>
      </w:r>
      <w:r>
        <w:t xml:space="preserve">.  It defines “existing” in terms of the “most recent effective date of the Marin Local Coastal Program”.  We assume County’s intent here was to specify a current date, either August 12, 2021 when “updated portions” became effective, or when the EH chapter is eventually placed into effect.  However, both of these are </w:t>
      </w:r>
      <w:r w:rsidRPr="00D438A0">
        <w:rPr>
          <w:b/>
          <w:bCs/>
          <w:i/>
          <w:iCs/>
        </w:rPr>
        <w:t>amendments</w:t>
      </w:r>
      <w:r>
        <w:t xml:space="preserve"> to the Local Coastal Program, and not the Program itself; it is </w:t>
      </w:r>
      <w:r w:rsidR="009161E9">
        <w:t xml:space="preserve">therefore </w:t>
      </w:r>
      <w:r>
        <w:t xml:space="preserve">ambiguous </w:t>
      </w:r>
      <w:r w:rsidR="00D438A0">
        <w:t xml:space="preserve">as written </w:t>
      </w:r>
      <w:r>
        <w:t xml:space="preserve">whether this definition </w:t>
      </w:r>
      <w:r w:rsidR="00512A7F">
        <w:t>specifies</w:t>
      </w:r>
      <w:r>
        <w:t xml:space="preserve"> a date in </w:t>
      </w:r>
      <w:r w:rsidR="00512A7F">
        <w:t>2021/2022</w:t>
      </w:r>
      <w:r w:rsidR="009161E9">
        <w:t xml:space="preserve"> when the most recent amendments are in effect</w:t>
      </w:r>
      <w:r>
        <w:t xml:space="preserve">, or </w:t>
      </w:r>
      <w:r w:rsidR="009161E9">
        <w:t xml:space="preserve">the date </w:t>
      </w:r>
      <w:r>
        <w:t xml:space="preserve">in </w:t>
      </w:r>
      <w:r w:rsidR="00512A7F">
        <w:t>1982</w:t>
      </w:r>
      <w:r w:rsidR="00D438A0">
        <w:t xml:space="preserve"> when the Local Coastal Program itself went into effect</w:t>
      </w:r>
      <w:r>
        <w:t xml:space="preserve">.  </w:t>
      </w:r>
      <w:r w:rsidR="00A35AC3">
        <w:br/>
      </w:r>
      <w:r w:rsidR="00A35AC3">
        <w:br/>
        <w:t xml:space="preserve">If the second option is preferred then </w:t>
      </w:r>
      <w:r w:rsidR="00ED47B8">
        <w:t>i</w:t>
      </w:r>
      <w:r>
        <w:t xml:space="preserve">t would be best to </w:t>
      </w:r>
      <w:r w:rsidR="00A35AC3">
        <w:t xml:space="preserve">be specific about the date itself to avoid this ambiguity.  The wording should be changed to </w:t>
      </w:r>
      <w:r w:rsidR="009161E9">
        <w:t>:</w:t>
      </w:r>
      <w:r w:rsidR="00A35AC3">
        <w:br/>
      </w:r>
      <w:r w:rsidR="00A35AC3" w:rsidRPr="00A35AC3">
        <w:rPr>
          <w:i/>
          <w:iCs/>
        </w:rPr>
        <w:t xml:space="preserve">“A structure legally constructed prior to the most recent effective date of </w:t>
      </w:r>
      <w:r w:rsidR="00A35AC3">
        <w:rPr>
          <w:i/>
          <w:iCs/>
        </w:rPr>
        <w:t xml:space="preserve">these amendments to </w:t>
      </w:r>
      <w:r w:rsidR="00A35AC3" w:rsidRPr="00A35AC3">
        <w:rPr>
          <w:i/>
          <w:iCs/>
        </w:rPr>
        <w:t>the Marin County Local Coastal Program, currently August 12</w:t>
      </w:r>
      <w:r w:rsidR="00A35AC3" w:rsidRPr="00A35AC3">
        <w:rPr>
          <w:i/>
          <w:iCs/>
          <w:vertAlign w:val="superscript"/>
        </w:rPr>
        <w:t>th</w:t>
      </w:r>
      <w:r w:rsidR="00A35AC3" w:rsidRPr="00A35AC3">
        <w:rPr>
          <w:i/>
          <w:iCs/>
        </w:rPr>
        <w:t>, 2021, and not Substantially Improved since then.”</w:t>
      </w:r>
      <w:r w:rsidR="00ED47B8">
        <w:rPr>
          <w:i/>
          <w:iCs/>
        </w:rPr>
        <w:br/>
      </w:r>
      <w:r w:rsidR="00ED47B8">
        <w:rPr>
          <w:i/>
          <w:iCs/>
        </w:rPr>
        <w:br/>
      </w:r>
      <w:r w:rsidR="00ED47B8" w:rsidRPr="00ED47B8">
        <w:t xml:space="preserve">Finally, </w:t>
      </w:r>
      <w:r w:rsidR="00ED47B8">
        <w:t>it was pointed out at our meeting with staff that C-EH-15 redefines “existing</w:t>
      </w:r>
      <w:r w:rsidR="00413420">
        <w:t xml:space="preserve"> structures</w:t>
      </w:r>
      <w:r w:rsidR="00ED47B8">
        <w:t>”</w:t>
      </w:r>
      <w:r w:rsidR="00413420">
        <w:t>; staff</w:t>
      </w:r>
      <w:r w:rsidR="00ED47B8">
        <w:t xml:space="preserve"> acknowledged this was </w:t>
      </w:r>
      <w:r w:rsidR="00D438A0">
        <w:t xml:space="preserve">accidental and </w:t>
      </w:r>
      <w:r w:rsidR="00ED47B8">
        <w:t xml:space="preserve">in conflict with the Definition of “existing structure”.  The reference to a date in C-EH-15 should be struck and simply left </w:t>
      </w:r>
      <w:r w:rsidR="00D438A0">
        <w:t xml:space="preserve">as </w:t>
      </w:r>
      <w:r w:rsidR="00413420">
        <w:t>“to protect existing structures”.</w:t>
      </w:r>
      <w:r w:rsidRPr="00ED47B8">
        <w:br/>
      </w:r>
      <w:r w:rsidR="0066138F">
        <w:br/>
      </w:r>
    </w:p>
    <w:p w14:paraId="33C51DF2" w14:textId="367C35DF" w:rsidR="0066138F" w:rsidRDefault="00512A7F" w:rsidP="00E408AF">
      <w:pPr>
        <w:pStyle w:val="ListParagraph"/>
        <w:numPr>
          <w:ilvl w:val="0"/>
          <w:numId w:val="3"/>
        </w:numPr>
      </w:pPr>
      <w:r>
        <w:t xml:space="preserve">As was also discussed with staff in meetings, we strongly object to C-EH-15(2) denying permitting to shoreline protective devices for </w:t>
      </w:r>
      <w:r w:rsidR="0066138F">
        <w:t xml:space="preserve">individual </w:t>
      </w:r>
      <w:r>
        <w:t xml:space="preserve">residential structures.  This section should be struck. </w:t>
      </w:r>
      <w:r>
        <w:br/>
      </w:r>
      <w:r>
        <w:br/>
        <w:t xml:space="preserve">First it is arbitrary and capricious; there is no fair </w:t>
      </w:r>
      <w:r w:rsidR="0066138F">
        <w:t xml:space="preserve">or rational </w:t>
      </w:r>
      <w:r>
        <w:t xml:space="preserve">basis </w:t>
      </w:r>
      <w:r w:rsidR="00D438A0">
        <w:t>for Marin County to decide that</w:t>
      </w:r>
      <w:r>
        <w:t xml:space="preserve"> an individual residence is less worthy of protection than for instance, an individual commercial structure, </w:t>
      </w:r>
      <w:r w:rsidR="00D824AF">
        <w:t xml:space="preserve">a private structure like a garage or storage unit that is not itself a residence, </w:t>
      </w:r>
      <w:r w:rsidR="0066138F">
        <w:t xml:space="preserve">or two single residential structures that jointly build a shoreline protective device.  </w:t>
      </w:r>
      <w:r w:rsidR="0066138F">
        <w:br/>
      </w:r>
      <w:r w:rsidR="0066138F">
        <w:br/>
        <w:t xml:space="preserve">Second, it runs directly counter to County’s interest and policies in supporting affordable housing in West Marin.  </w:t>
      </w:r>
      <w:r w:rsidR="00D438A0">
        <w:t>In</w:t>
      </w:r>
      <w:r w:rsidR="0066138F">
        <w:t xml:space="preserve"> Stinson Beach, the two most-recently secured multi-family affordable housing units are located </w:t>
      </w:r>
      <w:r w:rsidR="00D824AF">
        <w:t>at</w:t>
      </w:r>
      <w:r w:rsidR="0066138F">
        <w:t xml:space="preserve"> low elevations, one near a beach, the other near the lagoon.  Having spent considerable time and money to purchase these critical</w:t>
      </w:r>
      <w:r w:rsidR="00D438A0">
        <w:t xml:space="preserve">ly needed </w:t>
      </w:r>
      <w:r w:rsidR="00D824AF">
        <w:t>affordable units</w:t>
      </w:r>
      <w:r w:rsidR="0066138F">
        <w:t>, County should not in the next breath write code specifically preventing their preservation in the face of sea level rise.</w:t>
      </w:r>
      <w:r w:rsidR="00472F76">
        <w:br/>
      </w:r>
      <w:r w:rsidR="00472F76">
        <w:br/>
        <w:t xml:space="preserve">Third, we </w:t>
      </w:r>
      <w:r w:rsidR="00D438A0">
        <w:t>understand</w:t>
      </w:r>
      <w:r w:rsidR="00472F76">
        <w:t xml:space="preserve"> that a rationale for this section was that other North Central Coast counties have adopted or proposed this in their draft LCPs, including Sonoma and Half Moon Bay.  This is </w:t>
      </w:r>
      <w:r w:rsidR="00C86851">
        <w:t>according to the most current public information available simply untrue</w:t>
      </w:r>
      <w:r w:rsidR="00472F76">
        <w:t xml:space="preserve">: </w:t>
      </w:r>
      <w:r w:rsidR="00472F76">
        <w:br/>
        <w:t xml:space="preserve"> - The draft publicly available for Sonoma’s LCP states on </w:t>
      </w:r>
      <w:proofErr w:type="spellStart"/>
      <w:r w:rsidR="00472F76">
        <w:t>pg</w:t>
      </w:r>
      <w:proofErr w:type="spellEnd"/>
      <w:r w:rsidR="00472F76">
        <w:t xml:space="preserve"> 166 that “Section 30235 of the California Coastal Act allows seawalls and other shoreline protection structures only to protect existing development or public beaches or to serve coastal-dependent uses, and only in certain situations.”  Its policy C-PS-2j on </w:t>
      </w:r>
      <w:proofErr w:type="spellStart"/>
      <w:r w:rsidR="00472F76">
        <w:t>pg</w:t>
      </w:r>
      <w:proofErr w:type="spellEnd"/>
      <w:r w:rsidR="00472F76">
        <w:t xml:space="preserve"> 168 specifically allows for “shoreline protection structures”.   None of its policy provisions exclude individual residential structures.</w:t>
      </w:r>
      <w:r w:rsidR="00472F76">
        <w:br/>
        <w:t xml:space="preserve">- </w:t>
      </w:r>
      <w:r w:rsidR="00C86851">
        <w:t xml:space="preserve">Half Moon Bay’s LCP both quotes section 30235 of the Coastal Act permitting shoreline protective </w:t>
      </w:r>
      <w:r w:rsidR="00C86851">
        <w:lastRenderedPageBreak/>
        <w:t>devices for existing structures on page 237, and on page 306 specifically calls out as a policy that “Hard shoreline protection is permitted… to protect existing structures”.  Again, no exception is made in Half Moon Bay’s policy for individual residences.  This language was unanimously certified by the California Coastal Commission in 2020.</w:t>
      </w:r>
      <w:r w:rsidR="00C86851">
        <w:br/>
        <w:t xml:space="preserve">- we also note that no other implemented plan in our region contains an exclusion for individual residences.  San Francisco’s LCP was certified in 2018 with no such policy, nor does San Mateo’s LCP contain one.  Marin County would </w:t>
      </w:r>
      <w:r w:rsidR="00D438A0">
        <w:t xml:space="preserve">presumably </w:t>
      </w:r>
      <w:r w:rsidR="00C86851">
        <w:t>be the first to attempt to restrict the rights of its homeowners in this way.</w:t>
      </w:r>
      <w:r w:rsidR="0066138F">
        <w:br/>
      </w:r>
      <w:r w:rsidR="0066138F">
        <w:br/>
      </w:r>
      <w:r w:rsidR="00472F76">
        <w:t>Fourth</w:t>
      </w:r>
      <w:r w:rsidR="0066138F">
        <w:t xml:space="preserve">, </w:t>
      </w:r>
      <w:r w:rsidR="00D438A0">
        <w:t>this section i</w:t>
      </w:r>
      <w:r w:rsidR="0066138F">
        <w:t xml:space="preserve">s plainly contrary to California law and opens the County to court actions it would almost certainly lose.  </w:t>
      </w:r>
      <w:r w:rsidR="00C86851">
        <w:t>As we have noted in the past, and as quoted in Sonoma’s LCP above, Section 30235 of the Coastal Act explicitly grants the right to a shoreline protective device to existing structures.  While a qualified right, there is no exclusion made in the Act for existing individual residences</w:t>
      </w:r>
      <w:r w:rsidR="00D824AF">
        <w:t>; all existing structures have this right under state law</w:t>
      </w:r>
      <w:r w:rsidR="00C86851">
        <w:t xml:space="preserve">.  Marin County cannot unilaterally overturn standing California law by deciding that some existing structures </w:t>
      </w:r>
      <w:r w:rsidR="00D824AF">
        <w:t>may be stripped of this State-granted right</w:t>
      </w:r>
      <w:r w:rsidR="00C86851">
        <w:t>.</w:t>
      </w:r>
      <w:r w:rsidR="00D824AF">
        <w:br/>
      </w:r>
      <w:r w:rsidR="00D824AF">
        <w:br/>
        <w:t xml:space="preserve">For the same reasons, C-EH-22(6) requiring a waiver of future construction of new shoreline protective devices should be struck.  </w:t>
      </w:r>
    </w:p>
    <w:p w14:paraId="709C8B82" w14:textId="77777777" w:rsidR="00C86851" w:rsidRDefault="00C86851" w:rsidP="00C86851">
      <w:pPr>
        <w:pStyle w:val="ListParagraph"/>
      </w:pPr>
    </w:p>
    <w:p w14:paraId="54F2ECF3" w14:textId="4609B684" w:rsidR="00126042" w:rsidRDefault="001E312A" w:rsidP="00BE74E1">
      <w:pPr>
        <w:pStyle w:val="ListParagraph"/>
        <w:numPr>
          <w:ilvl w:val="0"/>
          <w:numId w:val="3"/>
        </w:numPr>
      </w:pPr>
      <w:r>
        <w:t xml:space="preserve">C-EH-22 is clearly written at </w:t>
      </w:r>
      <w:r w:rsidR="00BE74E1">
        <w:t xml:space="preserve">its </w:t>
      </w:r>
      <w:r>
        <w:t xml:space="preserve">outset </w:t>
      </w:r>
      <w:r w:rsidR="00D2656F">
        <w:t>to govern</w:t>
      </w:r>
      <w:r>
        <w:t xml:space="preserve"> “new development”</w:t>
      </w:r>
      <w:r w:rsidR="00D2656F">
        <w:t>,</w:t>
      </w:r>
      <w:r>
        <w:t xml:space="preserve"> for which deed restrictions are required.  “new” should also be inserted for bullets 6-9 as </w:t>
      </w:r>
      <w:r w:rsidR="00D2656F">
        <w:t>the section is</w:t>
      </w:r>
      <w:r>
        <w:t xml:space="preserve"> otherwise</w:t>
      </w:r>
      <w:r w:rsidR="00D2656F">
        <w:t xml:space="preserve"> ambiguous.  It</w:t>
      </w:r>
      <w:r>
        <w:t xml:space="preserve"> appear</w:t>
      </w:r>
      <w:r w:rsidR="00D2656F">
        <w:t>s</w:t>
      </w:r>
      <w:r>
        <w:t xml:space="preserve"> that the </w:t>
      </w:r>
      <w:r w:rsidR="00D2656F">
        <w:t xml:space="preserve">general overview at the head of C-EH-22 provides the context that all subsequent deed restrictions in the section apply to new development, and the second section merely adds additional deed restrictions for a subclass of such; but without stating explicitly “For new shoreline, blufftop and bluff face development” it leaves open to debate whether development of existing structures in this subclass also requires such deed restrictions, which could lead to needless delays, appeals or court challenges.  </w:t>
      </w:r>
      <w:r w:rsidR="00D2656F">
        <w:br/>
      </w:r>
      <w:r w:rsidR="00D2656F">
        <w:br/>
        <w:t xml:space="preserve">Furthermore, it would not make sense that 6-9 should selectively apply to all development while 1-5 should only apply to new development.  For instance, restrictions in 1. and 7. are “of a kind” in </w:t>
      </w:r>
      <w:r w:rsidR="00957CE8">
        <w:t>requiring identification of hazards; it would be arbitrary and nonsensical that for instance, development on an existing home along a shoreline would require the restrictions in 7 but not those in 1.  Furthermore, the restrictions in 6-9 only make sense for newly constructed developments.</w:t>
      </w:r>
      <w:r w:rsidR="00957CE8">
        <w:br/>
      </w:r>
      <w:r w:rsidR="00957CE8">
        <w:br/>
        <w:t xml:space="preserve">Similarly, C-EH-23 Development Conditions should only apply to new shoreline, blufftop and bluff face development.  </w:t>
      </w:r>
    </w:p>
    <w:p w14:paraId="7DABAEB4" w14:textId="54AB3E97" w:rsidR="00BE74E1" w:rsidRDefault="00BE74E1" w:rsidP="00BE74E1"/>
    <w:p w14:paraId="488D1167" w14:textId="66E1817F" w:rsidR="00BE74E1" w:rsidRDefault="00BE74E1" w:rsidP="00BE74E1"/>
    <w:p w14:paraId="7431C03F" w14:textId="503E558B" w:rsidR="00BE74E1" w:rsidRDefault="00BE74E1" w:rsidP="00BE74E1">
      <w:r>
        <w:t>Thank you for your hard work to date and for your consideration of these points,</w:t>
      </w:r>
    </w:p>
    <w:p w14:paraId="026488E5" w14:textId="289EF782" w:rsidR="00BE74E1" w:rsidRDefault="00BE74E1" w:rsidP="00BE74E1"/>
    <w:p w14:paraId="7589EE32" w14:textId="77777777" w:rsidR="00BE74E1" w:rsidRDefault="00BE74E1" w:rsidP="00BE74E1"/>
    <w:p w14:paraId="081E02CE" w14:textId="3FA7BAFE" w:rsidR="00BE74E1" w:rsidRDefault="00BE74E1" w:rsidP="00BE74E1">
      <w:r>
        <w:t>Jeff Loomans</w:t>
      </w:r>
    </w:p>
    <w:p w14:paraId="20BD809C" w14:textId="078C3376" w:rsidR="00BE74E1" w:rsidRPr="00BE74E1" w:rsidRDefault="00BE74E1" w:rsidP="00BE74E1">
      <w:r>
        <w:t>Coastal Communities Working Group Representative</w:t>
      </w:r>
    </w:p>
    <w:p w14:paraId="0774E2F5" w14:textId="77777777" w:rsidR="00126042" w:rsidRPr="00742FC0" w:rsidRDefault="00126042" w:rsidP="00F358EA">
      <w:pPr>
        <w:spacing w:after="0" w:line="240" w:lineRule="auto"/>
        <w:rPr>
          <w:rFonts w:ascii="Times New Roman" w:hAnsi="Times New Roman" w:cs="Times New Roman"/>
        </w:rPr>
      </w:pPr>
    </w:p>
    <w:sectPr w:rsidR="00126042" w:rsidRPr="00742FC0" w:rsidSect="00761F64">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21F0" w14:textId="77777777" w:rsidR="00DF60DB" w:rsidRDefault="00DF60DB" w:rsidP="00060725">
      <w:pPr>
        <w:spacing w:after="0" w:line="240" w:lineRule="auto"/>
      </w:pPr>
      <w:r>
        <w:separator/>
      </w:r>
    </w:p>
  </w:endnote>
  <w:endnote w:type="continuationSeparator" w:id="0">
    <w:p w14:paraId="45CDED3B" w14:textId="77777777" w:rsidR="00DF60DB" w:rsidRDefault="00DF60DB" w:rsidP="0006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C814" w14:textId="77777777" w:rsidR="00DF60DB" w:rsidRDefault="00DF60DB" w:rsidP="00060725">
      <w:pPr>
        <w:spacing w:after="0" w:line="240" w:lineRule="auto"/>
      </w:pPr>
      <w:r>
        <w:separator/>
      </w:r>
    </w:p>
  </w:footnote>
  <w:footnote w:type="continuationSeparator" w:id="0">
    <w:p w14:paraId="2416B218" w14:textId="77777777" w:rsidR="00DF60DB" w:rsidRDefault="00DF60DB" w:rsidP="0006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3BF"/>
    <w:multiLevelType w:val="hybridMultilevel"/>
    <w:tmpl w:val="FFE0E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FA5A9A"/>
    <w:multiLevelType w:val="hybridMultilevel"/>
    <w:tmpl w:val="A3B4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B4082"/>
    <w:multiLevelType w:val="hybridMultilevel"/>
    <w:tmpl w:val="F10E6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587"/>
    <w:rsid w:val="0001097D"/>
    <w:rsid w:val="00021A99"/>
    <w:rsid w:val="000251D3"/>
    <w:rsid w:val="0002689B"/>
    <w:rsid w:val="00056790"/>
    <w:rsid w:val="00060725"/>
    <w:rsid w:val="000745BF"/>
    <w:rsid w:val="00074603"/>
    <w:rsid w:val="0008375B"/>
    <w:rsid w:val="00090B55"/>
    <w:rsid w:val="000B7F5C"/>
    <w:rsid w:val="000E632B"/>
    <w:rsid w:val="000F3481"/>
    <w:rsid w:val="0011091C"/>
    <w:rsid w:val="00117B9F"/>
    <w:rsid w:val="00126042"/>
    <w:rsid w:val="00141164"/>
    <w:rsid w:val="00150E3C"/>
    <w:rsid w:val="0017579A"/>
    <w:rsid w:val="00195C0A"/>
    <w:rsid w:val="001C0DE0"/>
    <w:rsid w:val="001D214F"/>
    <w:rsid w:val="001E312A"/>
    <w:rsid w:val="00274CDF"/>
    <w:rsid w:val="00275377"/>
    <w:rsid w:val="00295981"/>
    <w:rsid w:val="002C137B"/>
    <w:rsid w:val="002C5A12"/>
    <w:rsid w:val="002E257D"/>
    <w:rsid w:val="002F3B6D"/>
    <w:rsid w:val="003002EE"/>
    <w:rsid w:val="00343943"/>
    <w:rsid w:val="0037300D"/>
    <w:rsid w:val="003A396C"/>
    <w:rsid w:val="003C7495"/>
    <w:rsid w:val="003F03DF"/>
    <w:rsid w:val="004133FF"/>
    <w:rsid w:val="00413420"/>
    <w:rsid w:val="004254AB"/>
    <w:rsid w:val="004578B6"/>
    <w:rsid w:val="00472F76"/>
    <w:rsid w:val="00484348"/>
    <w:rsid w:val="004953B4"/>
    <w:rsid w:val="004A4B57"/>
    <w:rsid w:val="004C0FF7"/>
    <w:rsid w:val="004D39A2"/>
    <w:rsid w:val="004D5A31"/>
    <w:rsid w:val="004E2083"/>
    <w:rsid w:val="004E68B1"/>
    <w:rsid w:val="00512A7F"/>
    <w:rsid w:val="005366BD"/>
    <w:rsid w:val="005473B4"/>
    <w:rsid w:val="00575773"/>
    <w:rsid w:val="00576316"/>
    <w:rsid w:val="005A3318"/>
    <w:rsid w:val="005D486B"/>
    <w:rsid w:val="005F2F13"/>
    <w:rsid w:val="00612218"/>
    <w:rsid w:val="0065670D"/>
    <w:rsid w:val="0066138F"/>
    <w:rsid w:val="00672EE8"/>
    <w:rsid w:val="00687729"/>
    <w:rsid w:val="00694C63"/>
    <w:rsid w:val="006A7E64"/>
    <w:rsid w:val="006B13C6"/>
    <w:rsid w:val="006C44A1"/>
    <w:rsid w:val="006C5B94"/>
    <w:rsid w:val="006E36AA"/>
    <w:rsid w:val="006E5BD3"/>
    <w:rsid w:val="00742FC0"/>
    <w:rsid w:val="00761F64"/>
    <w:rsid w:val="0077726D"/>
    <w:rsid w:val="00777547"/>
    <w:rsid w:val="00797429"/>
    <w:rsid w:val="007B7C58"/>
    <w:rsid w:val="007C0192"/>
    <w:rsid w:val="007F7723"/>
    <w:rsid w:val="00817040"/>
    <w:rsid w:val="0082234A"/>
    <w:rsid w:val="0083135F"/>
    <w:rsid w:val="008562E5"/>
    <w:rsid w:val="00874920"/>
    <w:rsid w:val="008B57FE"/>
    <w:rsid w:val="008D2990"/>
    <w:rsid w:val="008F4B2A"/>
    <w:rsid w:val="009161E9"/>
    <w:rsid w:val="00921758"/>
    <w:rsid w:val="00945C33"/>
    <w:rsid w:val="00957CE8"/>
    <w:rsid w:val="00961283"/>
    <w:rsid w:val="009732DF"/>
    <w:rsid w:val="009906C9"/>
    <w:rsid w:val="00991D55"/>
    <w:rsid w:val="009D7051"/>
    <w:rsid w:val="009F4D54"/>
    <w:rsid w:val="00A003A1"/>
    <w:rsid w:val="00A06C87"/>
    <w:rsid w:val="00A256EE"/>
    <w:rsid w:val="00A35AC3"/>
    <w:rsid w:val="00A42E20"/>
    <w:rsid w:val="00A7508E"/>
    <w:rsid w:val="00A75A2A"/>
    <w:rsid w:val="00A77DB4"/>
    <w:rsid w:val="00A93E46"/>
    <w:rsid w:val="00A97961"/>
    <w:rsid w:val="00AB7FAF"/>
    <w:rsid w:val="00AE36F8"/>
    <w:rsid w:val="00B4088F"/>
    <w:rsid w:val="00B47BFE"/>
    <w:rsid w:val="00B5604C"/>
    <w:rsid w:val="00BA4C00"/>
    <w:rsid w:val="00BB7408"/>
    <w:rsid w:val="00BC3EE5"/>
    <w:rsid w:val="00BD322A"/>
    <w:rsid w:val="00BE02C3"/>
    <w:rsid w:val="00BE74E1"/>
    <w:rsid w:val="00C43A9B"/>
    <w:rsid w:val="00C56702"/>
    <w:rsid w:val="00C615DF"/>
    <w:rsid w:val="00C72834"/>
    <w:rsid w:val="00C818C1"/>
    <w:rsid w:val="00C86851"/>
    <w:rsid w:val="00C95E88"/>
    <w:rsid w:val="00CA0104"/>
    <w:rsid w:val="00CA54CA"/>
    <w:rsid w:val="00CA7637"/>
    <w:rsid w:val="00CB4D19"/>
    <w:rsid w:val="00CD022D"/>
    <w:rsid w:val="00CD216B"/>
    <w:rsid w:val="00CD63CC"/>
    <w:rsid w:val="00CE3C13"/>
    <w:rsid w:val="00D2656F"/>
    <w:rsid w:val="00D438A0"/>
    <w:rsid w:val="00D53C2A"/>
    <w:rsid w:val="00D56030"/>
    <w:rsid w:val="00D562F3"/>
    <w:rsid w:val="00D650AB"/>
    <w:rsid w:val="00D812D7"/>
    <w:rsid w:val="00D824AF"/>
    <w:rsid w:val="00D8576D"/>
    <w:rsid w:val="00D914FB"/>
    <w:rsid w:val="00D961AF"/>
    <w:rsid w:val="00DD5F67"/>
    <w:rsid w:val="00DF60DB"/>
    <w:rsid w:val="00E30A3C"/>
    <w:rsid w:val="00E3729D"/>
    <w:rsid w:val="00E77D96"/>
    <w:rsid w:val="00E95439"/>
    <w:rsid w:val="00EA4AE4"/>
    <w:rsid w:val="00EA56AB"/>
    <w:rsid w:val="00EC5587"/>
    <w:rsid w:val="00ED47B8"/>
    <w:rsid w:val="00ED511D"/>
    <w:rsid w:val="00F275A0"/>
    <w:rsid w:val="00F358EA"/>
    <w:rsid w:val="00F41ED5"/>
    <w:rsid w:val="00F56C45"/>
    <w:rsid w:val="00FA5E78"/>
    <w:rsid w:val="00FD39D9"/>
    <w:rsid w:val="00FD5E77"/>
    <w:rsid w:val="00FE0221"/>
    <w:rsid w:val="00FE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DBA9"/>
  <w15:docId w15:val="{87CD6260-57BD-48E2-BBA8-A211437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space">
    <w:name w:val="enspace"/>
    <w:basedOn w:val="DefaultParagraphFont"/>
    <w:rsid w:val="00CE3C13"/>
  </w:style>
  <w:style w:type="paragraph" w:styleId="FootnoteText">
    <w:name w:val="footnote text"/>
    <w:basedOn w:val="Normal"/>
    <w:link w:val="FootnoteTextChar"/>
    <w:uiPriority w:val="99"/>
    <w:unhideWhenUsed/>
    <w:rsid w:val="00060725"/>
    <w:pPr>
      <w:spacing w:after="0" w:line="240" w:lineRule="auto"/>
    </w:pPr>
    <w:rPr>
      <w:sz w:val="20"/>
      <w:szCs w:val="20"/>
    </w:rPr>
  </w:style>
  <w:style w:type="character" w:customStyle="1" w:styleId="FootnoteTextChar">
    <w:name w:val="Footnote Text Char"/>
    <w:basedOn w:val="DefaultParagraphFont"/>
    <w:link w:val="FootnoteText"/>
    <w:uiPriority w:val="99"/>
    <w:rsid w:val="00060725"/>
    <w:rPr>
      <w:sz w:val="20"/>
      <w:szCs w:val="20"/>
    </w:rPr>
  </w:style>
  <w:style w:type="character" w:styleId="FootnoteReference">
    <w:name w:val="footnote reference"/>
    <w:basedOn w:val="DefaultParagraphFont"/>
    <w:uiPriority w:val="99"/>
    <w:semiHidden/>
    <w:unhideWhenUsed/>
    <w:rsid w:val="00060725"/>
    <w:rPr>
      <w:vertAlign w:val="superscript"/>
    </w:rPr>
  </w:style>
  <w:style w:type="paragraph" w:customStyle="1" w:styleId="Default">
    <w:name w:val="Default"/>
    <w:rsid w:val="007C01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F3B6D"/>
    <w:rPr>
      <w:color w:val="0563C1" w:themeColor="hyperlink"/>
      <w:u w:val="single"/>
    </w:rPr>
  </w:style>
  <w:style w:type="character" w:customStyle="1" w:styleId="UnresolvedMention1">
    <w:name w:val="Unresolved Mention1"/>
    <w:basedOn w:val="DefaultParagraphFont"/>
    <w:uiPriority w:val="99"/>
    <w:semiHidden/>
    <w:unhideWhenUsed/>
    <w:rsid w:val="002F3B6D"/>
    <w:rPr>
      <w:color w:val="605E5C"/>
      <w:shd w:val="clear" w:color="auto" w:fill="E1DFDD"/>
    </w:rPr>
  </w:style>
  <w:style w:type="paragraph" w:styleId="BalloonText">
    <w:name w:val="Balloon Text"/>
    <w:basedOn w:val="Normal"/>
    <w:link w:val="BalloonTextChar"/>
    <w:uiPriority w:val="99"/>
    <w:semiHidden/>
    <w:unhideWhenUsed/>
    <w:rsid w:val="00E3729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729D"/>
    <w:rPr>
      <w:rFonts w:ascii="Times New Roman" w:hAnsi="Times New Roman" w:cs="Times New Roman"/>
      <w:sz w:val="18"/>
      <w:szCs w:val="18"/>
    </w:rPr>
  </w:style>
  <w:style w:type="paragraph" w:styleId="ListParagraph">
    <w:name w:val="List Paragraph"/>
    <w:basedOn w:val="Normal"/>
    <w:uiPriority w:val="34"/>
    <w:qFormat/>
    <w:rsid w:val="00FD39D9"/>
    <w:pPr>
      <w:spacing w:after="0" w:line="240" w:lineRule="auto"/>
      <w:ind w:left="720"/>
    </w:pPr>
    <w:rPr>
      <w:rFonts w:ascii="Calibri" w:hAnsi="Calibri" w:cs="Times New Roman"/>
    </w:rPr>
  </w:style>
  <w:style w:type="character" w:styleId="Strong">
    <w:name w:val="Strong"/>
    <w:basedOn w:val="DefaultParagraphFont"/>
    <w:uiPriority w:val="22"/>
    <w:qFormat/>
    <w:rsid w:val="00C818C1"/>
    <w:rPr>
      <w:b/>
      <w:bCs/>
    </w:rPr>
  </w:style>
  <w:style w:type="character" w:styleId="CommentReference">
    <w:name w:val="annotation reference"/>
    <w:basedOn w:val="DefaultParagraphFont"/>
    <w:uiPriority w:val="99"/>
    <w:semiHidden/>
    <w:unhideWhenUsed/>
    <w:rsid w:val="000251D3"/>
    <w:rPr>
      <w:sz w:val="16"/>
      <w:szCs w:val="16"/>
    </w:rPr>
  </w:style>
  <w:style w:type="paragraph" w:styleId="CommentText">
    <w:name w:val="annotation text"/>
    <w:basedOn w:val="Normal"/>
    <w:link w:val="CommentTextChar"/>
    <w:uiPriority w:val="99"/>
    <w:semiHidden/>
    <w:unhideWhenUsed/>
    <w:rsid w:val="000251D3"/>
    <w:pPr>
      <w:spacing w:line="240" w:lineRule="auto"/>
    </w:pPr>
    <w:rPr>
      <w:sz w:val="20"/>
      <w:szCs w:val="20"/>
    </w:rPr>
  </w:style>
  <w:style w:type="character" w:customStyle="1" w:styleId="CommentTextChar">
    <w:name w:val="Comment Text Char"/>
    <w:basedOn w:val="DefaultParagraphFont"/>
    <w:link w:val="CommentText"/>
    <w:uiPriority w:val="99"/>
    <w:semiHidden/>
    <w:rsid w:val="000251D3"/>
    <w:rPr>
      <w:sz w:val="20"/>
      <w:szCs w:val="20"/>
    </w:rPr>
  </w:style>
  <w:style w:type="paragraph" w:styleId="CommentSubject">
    <w:name w:val="annotation subject"/>
    <w:basedOn w:val="CommentText"/>
    <w:next w:val="CommentText"/>
    <w:link w:val="CommentSubjectChar"/>
    <w:uiPriority w:val="99"/>
    <w:semiHidden/>
    <w:unhideWhenUsed/>
    <w:rsid w:val="000251D3"/>
    <w:rPr>
      <w:b/>
      <w:bCs/>
    </w:rPr>
  </w:style>
  <w:style w:type="character" w:customStyle="1" w:styleId="CommentSubjectChar">
    <w:name w:val="Comment Subject Char"/>
    <w:basedOn w:val="CommentTextChar"/>
    <w:link w:val="CommentSubject"/>
    <w:uiPriority w:val="99"/>
    <w:semiHidden/>
    <w:rsid w:val="000251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33779">
      <w:bodyDiv w:val="1"/>
      <w:marLeft w:val="0"/>
      <w:marRight w:val="0"/>
      <w:marTop w:val="0"/>
      <w:marBottom w:val="0"/>
      <w:divBdr>
        <w:top w:val="none" w:sz="0" w:space="0" w:color="auto"/>
        <w:left w:val="none" w:sz="0" w:space="0" w:color="auto"/>
        <w:bottom w:val="none" w:sz="0" w:space="0" w:color="auto"/>
        <w:right w:val="none" w:sz="0" w:space="0" w:color="auto"/>
      </w:divBdr>
    </w:div>
    <w:div w:id="928081368">
      <w:bodyDiv w:val="1"/>
      <w:marLeft w:val="0"/>
      <w:marRight w:val="0"/>
      <w:marTop w:val="0"/>
      <w:marBottom w:val="0"/>
      <w:divBdr>
        <w:top w:val="none" w:sz="0" w:space="0" w:color="auto"/>
        <w:left w:val="none" w:sz="0" w:space="0" w:color="auto"/>
        <w:bottom w:val="none" w:sz="0" w:space="0" w:color="auto"/>
        <w:right w:val="none" w:sz="0" w:space="0" w:color="auto"/>
      </w:divBdr>
    </w:div>
    <w:div w:id="1236550257">
      <w:bodyDiv w:val="1"/>
      <w:marLeft w:val="0"/>
      <w:marRight w:val="0"/>
      <w:marTop w:val="0"/>
      <w:marBottom w:val="0"/>
      <w:divBdr>
        <w:top w:val="none" w:sz="0" w:space="0" w:color="auto"/>
        <w:left w:val="none" w:sz="0" w:space="0" w:color="auto"/>
        <w:bottom w:val="none" w:sz="0" w:space="0" w:color="auto"/>
        <w:right w:val="none" w:sz="0" w:space="0" w:color="auto"/>
      </w:divBdr>
    </w:div>
    <w:div w:id="1262759862">
      <w:bodyDiv w:val="1"/>
      <w:marLeft w:val="0"/>
      <w:marRight w:val="0"/>
      <w:marTop w:val="0"/>
      <w:marBottom w:val="0"/>
      <w:divBdr>
        <w:top w:val="none" w:sz="0" w:space="0" w:color="auto"/>
        <w:left w:val="none" w:sz="0" w:space="0" w:color="auto"/>
        <w:bottom w:val="none" w:sz="0" w:space="0" w:color="auto"/>
        <w:right w:val="none" w:sz="0" w:space="0" w:color="auto"/>
      </w:divBdr>
    </w:div>
    <w:div w:id="1432697071">
      <w:bodyDiv w:val="1"/>
      <w:marLeft w:val="0"/>
      <w:marRight w:val="0"/>
      <w:marTop w:val="0"/>
      <w:marBottom w:val="0"/>
      <w:divBdr>
        <w:top w:val="none" w:sz="0" w:space="0" w:color="auto"/>
        <w:left w:val="none" w:sz="0" w:space="0" w:color="auto"/>
        <w:bottom w:val="none" w:sz="0" w:space="0" w:color="auto"/>
        <w:right w:val="none" w:sz="0" w:space="0" w:color="auto"/>
      </w:divBdr>
    </w:div>
    <w:div w:id="1799759922">
      <w:bodyDiv w:val="1"/>
      <w:marLeft w:val="0"/>
      <w:marRight w:val="0"/>
      <w:marTop w:val="0"/>
      <w:marBottom w:val="0"/>
      <w:divBdr>
        <w:top w:val="none" w:sz="0" w:space="0" w:color="auto"/>
        <w:left w:val="none" w:sz="0" w:space="0" w:color="auto"/>
        <w:bottom w:val="none" w:sz="0" w:space="0" w:color="auto"/>
        <w:right w:val="none" w:sz="0" w:space="0" w:color="auto"/>
      </w:divBdr>
    </w:div>
    <w:div w:id="1926723012">
      <w:bodyDiv w:val="1"/>
      <w:marLeft w:val="0"/>
      <w:marRight w:val="0"/>
      <w:marTop w:val="0"/>
      <w:marBottom w:val="0"/>
      <w:divBdr>
        <w:top w:val="none" w:sz="0" w:space="0" w:color="auto"/>
        <w:left w:val="none" w:sz="0" w:space="0" w:color="auto"/>
        <w:bottom w:val="none" w:sz="0" w:space="0" w:color="auto"/>
        <w:right w:val="none" w:sz="0" w:space="0" w:color="auto"/>
      </w:divBdr>
    </w:div>
    <w:div w:id="1933779478">
      <w:bodyDiv w:val="1"/>
      <w:marLeft w:val="0"/>
      <w:marRight w:val="0"/>
      <w:marTop w:val="0"/>
      <w:marBottom w:val="0"/>
      <w:divBdr>
        <w:top w:val="none" w:sz="0" w:space="0" w:color="auto"/>
        <w:left w:val="none" w:sz="0" w:space="0" w:color="auto"/>
        <w:bottom w:val="none" w:sz="0" w:space="0" w:color="auto"/>
        <w:right w:val="none" w:sz="0" w:space="0" w:color="auto"/>
      </w:divBdr>
    </w:div>
    <w:div w:id="2023894173">
      <w:bodyDiv w:val="1"/>
      <w:marLeft w:val="0"/>
      <w:marRight w:val="0"/>
      <w:marTop w:val="0"/>
      <w:marBottom w:val="0"/>
      <w:divBdr>
        <w:top w:val="none" w:sz="0" w:space="0" w:color="auto"/>
        <w:left w:val="none" w:sz="0" w:space="0" w:color="auto"/>
        <w:bottom w:val="none" w:sz="0" w:space="0" w:color="auto"/>
        <w:right w:val="none" w:sz="0" w:space="0" w:color="auto"/>
      </w:divBdr>
    </w:div>
    <w:div w:id="21124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Documents\Custom%20Office%20Templates\Blank%20G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DD464-7A56-4F01-85F5-9A03FABA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GC</Template>
  <TotalTime>1101</TotalTime>
  <Pages>3</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jeff loomans</cp:lastModifiedBy>
  <cp:revision>10</cp:revision>
  <cp:lastPrinted>2020-05-08T23:14:00Z</cp:lastPrinted>
  <dcterms:created xsi:type="dcterms:W3CDTF">2021-09-02T20:30:00Z</dcterms:created>
  <dcterms:modified xsi:type="dcterms:W3CDTF">2021-09-03T22:05:00Z</dcterms:modified>
</cp:coreProperties>
</file>